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</w:rPr>
        <w:t>Adresát</w:t>
        <w:br/>
      </w:r>
      <w:r>
        <w:rPr>
          <w:rFonts w:cs="Calibri"/>
        </w:rPr>
        <w:t>Internetový obchod:</w:t>
        <w:tab/>
        <w:t>www.armexpublishing.cz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  <w:t>ARMEX PUBLISHING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  <w:t>Hamerská 405/13, 19800 Praha 9 Kyje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 xml:space="preserve">IČ: </w:t>
        <w:tab/>
        <w:t>27075974,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DIČ:</w:t>
        <w:tab/>
        <w:t>CZ27075974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  <w:t>nakladatelstvi@armexpublishing.cz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  <w:t>+420 286 852 326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Zpa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Zpa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www.armexpublishing.cz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4bc2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rmexpublishing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LibreOffice/6.4.6.2$Linux_X86_64 LibreOffice_project/40$Build-2</Application>
  <Pages>1</Pages>
  <Words>163</Words>
  <Characters>1010</Characters>
  <CharactersWithSpaces>1151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2020-10-11T09:53:00Z</dcterms:created>
  <dc:creator>DHDesign</dc:creator>
  <dc:description/>
  <dc:language>cs-CZ</dc:language>
  <cp:lastModifiedBy>langer.filip</cp:lastModifiedBy>
  <cp:lastPrinted>2014-01-14T15:43:00Z</cp:lastPrinted>
  <dcterms:modified xsi:type="dcterms:W3CDTF">2020-10-11T09:57:00Z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